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AA7" w:rsidRDefault="00073AA7" w:rsidP="00073AA7">
      <w:pPr>
        <w:spacing w:after="0" w:line="480" w:lineRule="auto"/>
        <w:jc w:val="center"/>
        <w:rPr>
          <w:rFonts w:ascii="Times New Roman" w:hAnsi="Times New Roman" w:cs="Times New Roman"/>
          <w:sz w:val="24"/>
        </w:rPr>
      </w:pPr>
      <w:bookmarkStart w:id="0" w:name="_GoBack"/>
      <w:bookmarkEnd w:id="0"/>
    </w:p>
    <w:p w:rsidR="00073AA7" w:rsidRDefault="00073AA7" w:rsidP="00073AA7">
      <w:pPr>
        <w:spacing w:after="0" w:line="480" w:lineRule="auto"/>
        <w:jc w:val="center"/>
        <w:rPr>
          <w:rFonts w:ascii="Times New Roman" w:hAnsi="Times New Roman" w:cs="Times New Roman"/>
          <w:sz w:val="24"/>
        </w:rPr>
      </w:pPr>
    </w:p>
    <w:p w:rsidR="00073AA7" w:rsidRDefault="00073AA7" w:rsidP="00073AA7">
      <w:pPr>
        <w:spacing w:after="0" w:line="480" w:lineRule="auto"/>
        <w:jc w:val="center"/>
        <w:rPr>
          <w:rFonts w:ascii="Times New Roman" w:hAnsi="Times New Roman" w:cs="Times New Roman"/>
          <w:sz w:val="24"/>
        </w:rPr>
      </w:pPr>
    </w:p>
    <w:p w:rsidR="00073AA7" w:rsidRDefault="00073AA7" w:rsidP="00073AA7">
      <w:pPr>
        <w:spacing w:after="0" w:line="480" w:lineRule="auto"/>
        <w:jc w:val="center"/>
        <w:rPr>
          <w:rFonts w:ascii="Times New Roman" w:hAnsi="Times New Roman" w:cs="Times New Roman"/>
          <w:sz w:val="24"/>
        </w:rPr>
      </w:pPr>
    </w:p>
    <w:p w:rsidR="00073AA7" w:rsidRDefault="00073AA7" w:rsidP="00073AA7">
      <w:pPr>
        <w:spacing w:after="0" w:line="480" w:lineRule="auto"/>
        <w:jc w:val="center"/>
        <w:rPr>
          <w:rFonts w:ascii="Times New Roman" w:hAnsi="Times New Roman" w:cs="Times New Roman"/>
          <w:sz w:val="24"/>
        </w:rPr>
      </w:pPr>
    </w:p>
    <w:p w:rsidR="00073AA7" w:rsidRDefault="00073AA7" w:rsidP="00073AA7">
      <w:pPr>
        <w:spacing w:after="0" w:line="480" w:lineRule="auto"/>
        <w:jc w:val="center"/>
        <w:rPr>
          <w:rFonts w:ascii="Times New Roman" w:hAnsi="Times New Roman" w:cs="Times New Roman"/>
          <w:sz w:val="24"/>
        </w:rPr>
      </w:pPr>
    </w:p>
    <w:p w:rsidR="00073AA7" w:rsidRDefault="00073AA7" w:rsidP="00073AA7">
      <w:pPr>
        <w:spacing w:after="0" w:line="480" w:lineRule="auto"/>
        <w:jc w:val="center"/>
        <w:rPr>
          <w:rFonts w:ascii="Times New Roman" w:hAnsi="Times New Roman" w:cs="Times New Roman"/>
          <w:sz w:val="24"/>
        </w:rPr>
      </w:pPr>
    </w:p>
    <w:p w:rsidR="00073AA7" w:rsidRDefault="00073AA7" w:rsidP="00073AA7">
      <w:pPr>
        <w:spacing w:after="0" w:line="480" w:lineRule="auto"/>
        <w:jc w:val="center"/>
        <w:rPr>
          <w:rFonts w:ascii="Times New Roman" w:hAnsi="Times New Roman" w:cs="Times New Roman"/>
          <w:sz w:val="24"/>
        </w:rPr>
      </w:pPr>
    </w:p>
    <w:p w:rsidR="00073AA7" w:rsidRDefault="00073AA7" w:rsidP="00073AA7">
      <w:pPr>
        <w:spacing w:after="0" w:line="480" w:lineRule="auto"/>
        <w:jc w:val="center"/>
        <w:rPr>
          <w:rFonts w:ascii="Times New Roman" w:hAnsi="Times New Roman" w:cs="Times New Roman"/>
          <w:sz w:val="24"/>
        </w:rPr>
      </w:pPr>
    </w:p>
    <w:p w:rsidR="00073AA7" w:rsidRPr="00073AA7" w:rsidRDefault="00073AA7" w:rsidP="00073AA7">
      <w:pPr>
        <w:spacing w:after="0" w:line="480" w:lineRule="auto"/>
        <w:jc w:val="center"/>
        <w:rPr>
          <w:rFonts w:ascii="Times New Roman" w:hAnsi="Times New Roman" w:cs="Times New Roman"/>
          <w:sz w:val="24"/>
        </w:rPr>
      </w:pPr>
      <w:r w:rsidRPr="00073AA7">
        <w:rPr>
          <w:rFonts w:ascii="Times New Roman" w:hAnsi="Times New Roman" w:cs="Times New Roman"/>
          <w:sz w:val="24"/>
        </w:rPr>
        <w:t>Healthcare Policy</w:t>
      </w:r>
    </w:p>
    <w:p w:rsidR="00073AA7" w:rsidRPr="00073AA7" w:rsidRDefault="00073AA7" w:rsidP="00073AA7">
      <w:pPr>
        <w:spacing w:after="0" w:line="480" w:lineRule="auto"/>
        <w:jc w:val="center"/>
        <w:rPr>
          <w:rFonts w:ascii="Times New Roman" w:hAnsi="Times New Roman" w:cs="Times New Roman"/>
          <w:sz w:val="24"/>
        </w:rPr>
      </w:pPr>
      <w:r w:rsidRPr="00073AA7">
        <w:rPr>
          <w:rFonts w:ascii="Times New Roman" w:hAnsi="Times New Roman" w:cs="Times New Roman"/>
          <w:sz w:val="24"/>
        </w:rPr>
        <w:t>Student’s Name</w:t>
      </w:r>
    </w:p>
    <w:p w:rsidR="00073AA7" w:rsidRPr="00073AA7" w:rsidRDefault="00073AA7" w:rsidP="00073AA7">
      <w:pPr>
        <w:spacing w:after="0" w:line="480" w:lineRule="auto"/>
        <w:jc w:val="center"/>
        <w:rPr>
          <w:rFonts w:ascii="Times New Roman" w:hAnsi="Times New Roman" w:cs="Times New Roman"/>
          <w:sz w:val="24"/>
        </w:rPr>
      </w:pPr>
      <w:r w:rsidRPr="00073AA7">
        <w:rPr>
          <w:rFonts w:ascii="Times New Roman" w:hAnsi="Times New Roman" w:cs="Times New Roman"/>
          <w:sz w:val="24"/>
        </w:rPr>
        <w:t>Institution Affiliation</w:t>
      </w:r>
    </w:p>
    <w:p w:rsidR="00073AA7" w:rsidRPr="00073AA7" w:rsidRDefault="00073AA7" w:rsidP="00073AA7">
      <w:pPr>
        <w:spacing w:after="0" w:line="480" w:lineRule="auto"/>
        <w:jc w:val="center"/>
        <w:rPr>
          <w:rFonts w:ascii="Times New Roman" w:hAnsi="Times New Roman" w:cs="Times New Roman"/>
          <w:sz w:val="24"/>
        </w:rPr>
      </w:pPr>
      <w:r w:rsidRPr="00073AA7">
        <w:rPr>
          <w:rFonts w:ascii="Times New Roman" w:hAnsi="Times New Roman" w:cs="Times New Roman"/>
          <w:sz w:val="24"/>
        </w:rPr>
        <w:t>Date</w:t>
      </w: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Default="00073AA7" w:rsidP="00073AA7">
      <w:pPr>
        <w:spacing w:after="0" w:line="480" w:lineRule="auto"/>
        <w:jc w:val="center"/>
        <w:rPr>
          <w:rFonts w:ascii="Times New Roman" w:hAnsi="Times New Roman" w:cs="Times New Roman"/>
          <w:b/>
          <w:sz w:val="24"/>
        </w:rPr>
      </w:pPr>
    </w:p>
    <w:p w:rsidR="00073AA7" w:rsidRPr="00073AA7" w:rsidRDefault="00073AA7" w:rsidP="00073AA7">
      <w:pPr>
        <w:spacing w:after="0" w:line="480" w:lineRule="auto"/>
        <w:jc w:val="center"/>
        <w:rPr>
          <w:rFonts w:ascii="Times New Roman" w:hAnsi="Times New Roman" w:cs="Times New Roman"/>
          <w:b/>
          <w:sz w:val="24"/>
        </w:rPr>
      </w:pPr>
      <w:r w:rsidRPr="00073AA7">
        <w:rPr>
          <w:rFonts w:ascii="Times New Roman" w:hAnsi="Times New Roman" w:cs="Times New Roman"/>
          <w:b/>
          <w:sz w:val="24"/>
        </w:rPr>
        <w:lastRenderedPageBreak/>
        <w:t>Healthcare Policy</w:t>
      </w:r>
    </w:p>
    <w:p w:rsidR="00073AA7" w:rsidRPr="00073AA7" w:rsidRDefault="00073AA7" w:rsidP="00073AA7">
      <w:pPr>
        <w:spacing w:after="0" w:line="480" w:lineRule="auto"/>
        <w:ind w:firstLine="720"/>
        <w:rPr>
          <w:rFonts w:ascii="Times New Roman" w:hAnsi="Times New Roman" w:cs="Times New Roman"/>
          <w:sz w:val="24"/>
        </w:rPr>
      </w:pPr>
      <w:r w:rsidRPr="00073AA7">
        <w:rPr>
          <w:rFonts w:ascii="Times New Roman" w:hAnsi="Times New Roman" w:cs="Times New Roman"/>
          <w:sz w:val="24"/>
        </w:rPr>
        <w:t>Kennebec County in the state of Maine is led by five representatives that include three county commissioners, one county administrator, and one assistant county administrators.  Citizens elect all the county officials within the four districts, and each district presents a single commissioner to sit in the county council. These officials are charged with the formation of regulations that govern different sectors of the county. The number of representatives establishes a quorum of debate and ensures that all matters are voted democratically after public participation. Most of the policies and regulations are then passed to the state legislature for approval and are even adopted to other counties within the state. All the representatives must be present when an organization or individual is making a policy recommendation, and they give further advice on the issue. Numerous committees are mandated to oversee policies before they reach the voting stage in the county government. All health policy proposals must be presented to the health committee that is constituted of relevant healthcare representatives from the county overseen by their superiors from the state government. The role of the state healthcare officials is to ensure that the policies to be set in the county do not contradict the existing healthcare laws and policies in the state and federal governments. The number of officials in the committee is not definite, but the attendees have to be invited at the debating stages. Preliminary stages are open to the public for the whole process to be transparent. Public participation is key to ensuring that the policy faces less criticism and resistance during the implementation process.</w:t>
      </w:r>
    </w:p>
    <w:p w:rsidR="00073AA7" w:rsidRPr="00073AA7" w:rsidRDefault="00073AA7" w:rsidP="00073AA7">
      <w:pPr>
        <w:spacing w:after="0" w:line="480" w:lineRule="auto"/>
        <w:ind w:firstLine="720"/>
        <w:rPr>
          <w:rFonts w:ascii="Times New Roman" w:hAnsi="Times New Roman" w:cs="Times New Roman"/>
          <w:sz w:val="24"/>
        </w:rPr>
      </w:pPr>
      <w:r w:rsidRPr="00073AA7">
        <w:rPr>
          <w:rFonts w:ascii="Times New Roman" w:hAnsi="Times New Roman" w:cs="Times New Roman"/>
          <w:sz w:val="24"/>
        </w:rPr>
        <w:t xml:space="preserve">I would be glad to present my healthcare policy to the board because it has dedicated itself to improving the healthcare standards in the county. Fundamental facts are presented in the healthcare committee to ensure that all loopholes are sealed before the policy suggestion reaches the principal officials in the county government. The role of the committee is to broaden the </w:t>
      </w:r>
      <w:r w:rsidRPr="00073AA7">
        <w:rPr>
          <w:rFonts w:ascii="Times New Roman" w:hAnsi="Times New Roman" w:cs="Times New Roman"/>
          <w:sz w:val="24"/>
        </w:rPr>
        <w:lastRenderedPageBreak/>
        <w:t xml:space="preserve">research of the policy and ensure that all outcomes after the implementation are factored in the equation. Relevant information may be added, or irrelevant information may be subtracted from the suggestions. In this stage, other committees are consulted, and a level of partnership is fostered. For example, the finance docket may review the policy to ascertain its economic sense and the amount of money that may be required to fund the execution. This decision is referenced to the amount of money in the county coffers. </w:t>
      </w:r>
    </w:p>
    <w:p w:rsidR="00BE362C" w:rsidRDefault="00073AA7" w:rsidP="00073AA7">
      <w:pPr>
        <w:spacing w:after="0" w:line="480" w:lineRule="auto"/>
        <w:ind w:firstLine="720"/>
        <w:rPr>
          <w:rFonts w:ascii="Times New Roman" w:hAnsi="Times New Roman" w:cs="Times New Roman"/>
          <w:sz w:val="24"/>
        </w:rPr>
      </w:pPr>
      <w:r w:rsidRPr="00073AA7">
        <w:rPr>
          <w:rFonts w:ascii="Times New Roman" w:hAnsi="Times New Roman" w:cs="Times New Roman"/>
          <w:sz w:val="24"/>
        </w:rPr>
        <w:t xml:space="preserve">There are three outcomes from such committees, the policy may be rejected, it may be accepted to proceed to the next stage, or it may be kept pending for further recommendations and research. Lack of finances may also cause the policy to be held pending. Kennebec County has five commissioners that oversee the process and vote for or against the presented policies. Once approved by the health committee, a request for presentation comes through the office of the assistant county administrator, who informs the presenters on the available dates based on the county calendar. All the five officials must be present, and experts in healthcare must be present to ascertain the need and practicability of the proposed policy. The decision is made through a vote of the county officials after deliberations if the policy was unclear. At this stage, the commissioners hope that all the relevant facts have been filled in the committee stages, and it only bases the vote on the extent of benefit the policy has on the county population. </w:t>
      </w:r>
      <w:r w:rsidR="004824EA" w:rsidRPr="00073AA7">
        <w:rPr>
          <w:rFonts w:ascii="Times New Roman" w:hAnsi="Times New Roman" w:cs="Times New Roman"/>
          <w:sz w:val="24"/>
        </w:rPr>
        <w:t xml:space="preserve"> </w:t>
      </w:r>
    </w:p>
    <w:p w:rsidR="00F7128E" w:rsidRDefault="00F7128E" w:rsidP="00073AA7">
      <w:pPr>
        <w:spacing w:after="0" w:line="480" w:lineRule="auto"/>
        <w:ind w:firstLine="720"/>
        <w:rPr>
          <w:rFonts w:ascii="Times New Roman" w:hAnsi="Times New Roman" w:cs="Times New Roman"/>
          <w:sz w:val="24"/>
        </w:rPr>
      </w:pPr>
    </w:p>
    <w:p w:rsidR="00F7128E" w:rsidRDefault="00F7128E" w:rsidP="00073AA7">
      <w:pPr>
        <w:spacing w:after="0" w:line="480" w:lineRule="auto"/>
        <w:ind w:firstLine="720"/>
        <w:rPr>
          <w:rFonts w:ascii="Times New Roman" w:hAnsi="Times New Roman" w:cs="Times New Roman"/>
          <w:sz w:val="24"/>
        </w:rPr>
      </w:pPr>
    </w:p>
    <w:p w:rsidR="00F7128E" w:rsidRDefault="00F7128E" w:rsidP="00073AA7">
      <w:pPr>
        <w:spacing w:after="0" w:line="480" w:lineRule="auto"/>
        <w:ind w:firstLine="720"/>
        <w:rPr>
          <w:rFonts w:ascii="Times New Roman" w:hAnsi="Times New Roman" w:cs="Times New Roman"/>
          <w:sz w:val="24"/>
        </w:rPr>
      </w:pPr>
    </w:p>
    <w:p w:rsidR="00F7128E" w:rsidRDefault="00F7128E" w:rsidP="00073AA7">
      <w:pPr>
        <w:spacing w:after="0" w:line="480" w:lineRule="auto"/>
        <w:ind w:firstLine="720"/>
        <w:rPr>
          <w:rFonts w:ascii="Times New Roman" w:hAnsi="Times New Roman" w:cs="Times New Roman"/>
          <w:sz w:val="24"/>
        </w:rPr>
      </w:pPr>
    </w:p>
    <w:p w:rsidR="00F7128E" w:rsidRDefault="00F7128E" w:rsidP="00073AA7">
      <w:pPr>
        <w:spacing w:after="0" w:line="480" w:lineRule="auto"/>
        <w:ind w:firstLine="720"/>
        <w:rPr>
          <w:rFonts w:ascii="Times New Roman" w:hAnsi="Times New Roman" w:cs="Times New Roman"/>
          <w:sz w:val="24"/>
        </w:rPr>
      </w:pPr>
    </w:p>
    <w:p w:rsidR="00F7128E" w:rsidRDefault="00F7128E" w:rsidP="00073AA7">
      <w:pPr>
        <w:spacing w:after="0" w:line="480" w:lineRule="auto"/>
        <w:ind w:firstLine="720"/>
        <w:rPr>
          <w:rFonts w:ascii="Times New Roman" w:hAnsi="Times New Roman" w:cs="Times New Roman"/>
          <w:sz w:val="24"/>
        </w:rPr>
      </w:pPr>
    </w:p>
    <w:p w:rsidR="00F7128E" w:rsidRDefault="00F7128E" w:rsidP="00F7128E">
      <w:pPr>
        <w:spacing w:after="0" w:line="480" w:lineRule="auto"/>
        <w:ind w:firstLine="720"/>
        <w:jc w:val="center"/>
        <w:rPr>
          <w:rFonts w:ascii="Times New Roman" w:hAnsi="Times New Roman" w:cs="Times New Roman"/>
          <w:sz w:val="24"/>
        </w:rPr>
      </w:pPr>
      <w:r>
        <w:rPr>
          <w:rFonts w:ascii="Times New Roman" w:hAnsi="Times New Roman" w:cs="Times New Roman"/>
          <w:sz w:val="24"/>
        </w:rPr>
        <w:lastRenderedPageBreak/>
        <w:t>References</w:t>
      </w:r>
    </w:p>
    <w:p w:rsidR="00F7128E" w:rsidRDefault="00F7128E" w:rsidP="00F7128E">
      <w:pPr>
        <w:spacing w:after="0" w:line="480" w:lineRule="auto"/>
        <w:rPr>
          <w:rFonts w:ascii="Times New Roman" w:hAnsi="Times New Roman" w:cs="Times New Roman"/>
          <w:sz w:val="24"/>
        </w:rPr>
      </w:pPr>
      <w:r w:rsidRPr="00F7128E">
        <w:rPr>
          <w:rFonts w:ascii="Times New Roman" w:hAnsi="Times New Roman" w:cs="Times New Roman"/>
          <w:sz w:val="24"/>
        </w:rPr>
        <w:t xml:space="preserve">Daley, A., Crawley, A., Rahman, M., Demosthenes, J., </w:t>
      </w:r>
      <w:r>
        <w:rPr>
          <w:rFonts w:ascii="Times New Roman" w:hAnsi="Times New Roman" w:cs="Times New Roman"/>
          <w:sz w:val="24"/>
        </w:rPr>
        <w:t>&amp; Lyons, E. (2018). How Well Is Maine</w:t>
      </w:r>
      <w:r>
        <w:rPr>
          <w:rFonts w:ascii="Times New Roman" w:hAnsi="Times New Roman" w:cs="Times New Roman"/>
          <w:sz w:val="24"/>
        </w:rPr>
        <w:tab/>
      </w:r>
      <w:r w:rsidRPr="00F7128E">
        <w:rPr>
          <w:rFonts w:ascii="Times New Roman" w:hAnsi="Times New Roman" w:cs="Times New Roman"/>
          <w:sz w:val="24"/>
        </w:rPr>
        <w:t>Doing? Comparing Well-Being across Maine Counties.</w:t>
      </w:r>
      <w:r>
        <w:rPr>
          <w:rFonts w:ascii="Times New Roman" w:hAnsi="Times New Roman" w:cs="Times New Roman"/>
          <w:sz w:val="24"/>
        </w:rPr>
        <w:t xml:space="preserve"> Maine Policy Review, 27(2), 30</w:t>
      </w:r>
      <w:r>
        <w:rPr>
          <w:rFonts w:ascii="Times New Roman" w:hAnsi="Times New Roman" w:cs="Times New Roman"/>
          <w:sz w:val="24"/>
        </w:rPr>
        <w:tab/>
      </w:r>
      <w:r w:rsidRPr="00F7128E">
        <w:rPr>
          <w:rFonts w:ascii="Times New Roman" w:hAnsi="Times New Roman" w:cs="Times New Roman"/>
          <w:sz w:val="24"/>
        </w:rPr>
        <w:t>37.</w:t>
      </w:r>
    </w:p>
    <w:p w:rsidR="00F7128E" w:rsidRDefault="00F7128E" w:rsidP="00F7128E">
      <w:pPr>
        <w:spacing w:after="0" w:line="480" w:lineRule="auto"/>
        <w:rPr>
          <w:rFonts w:ascii="Times New Roman" w:hAnsi="Times New Roman" w:cs="Times New Roman"/>
          <w:sz w:val="24"/>
        </w:rPr>
      </w:pPr>
      <w:r w:rsidRPr="00F7128E">
        <w:rPr>
          <w:rFonts w:ascii="Times New Roman" w:hAnsi="Times New Roman" w:cs="Times New Roman"/>
          <w:sz w:val="24"/>
        </w:rPr>
        <w:t>Melcher, J. (2019). Maine’s 2018 Election: Bonds Continu</w:t>
      </w:r>
      <w:r>
        <w:rPr>
          <w:rFonts w:ascii="Times New Roman" w:hAnsi="Times New Roman" w:cs="Times New Roman"/>
          <w:sz w:val="24"/>
        </w:rPr>
        <w:t>e to Hold. Maine Policy Review,</w:t>
      </w:r>
      <w:r>
        <w:rPr>
          <w:rFonts w:ascii="Times New Roman" w:hAnsi="Times New Roman" w:cs="Times New Roman"/>
          <w:sz w:val="24"/>
        </w:rPr>
        <w:tab/>
      </w:r>
      <w:r w:rsidRPr="00F7128E">
        <w:rPr>
          <w:rFonts w:ascii="Times New Roman" w:hAnsi="Times New Roman" w:cs="Times New Roman"/>
          <w:sz w:val="24"/>
        </w:rPr>
        <w:t>28(1), 74-75.</w:t>
      </w:r>
    </w:p>
    <w:p w:rsidR="00F7128E" w:rsidRPr="00073AA7" w:rsidRDefault="00F7128E" w:rsidP="00F7128E">
      <w:pPr>
        <w:spacing w:after="0" w:line="480" w:lineRule="auto"/>
        <w:rPr>
          <w:rFonts w:ascii="Times New Roman" w:hAnsi="Times New Roman" w:cs="Times New Roman"/>
          <w:sz w:val="24"/>
        </w:rPr>
      </w:pPr>
      <w:r w:rsidRPr="00F7128E">
        <w:rPr>
          <w:rFonts w:ascii="Times New Roman" w:hAnsi="Times New Roman" w:cs="Times New Roman"/>
          <w:sz w:val="24"/>
        </w:rPr>
        <w:t>Wasfy, J. H., Stewart III, C., &amp; Bhambhani, V. (2017). County c</w:t>
      </w:r>
      <w:r>
        <w:rPr>
          <w:rFonts w:ascii="Times New Roman" w:hAnsi="Times New Roman" w:cs="Times New Roman"/>
          <w:sz w:val="24"/>
        </w:rPr>
        <w:t>ommunity health associations of</w:t>
      </w:r>
      <w:r>
        <w:rPr>
          <w:rFonts w:ascii="Times New Roman" w:hAnsi="Times New Roman" w:cs="Times New Roman"/>
          <w:sz w:val="24"/>
        </w:rPr>
        <w:tab/>
      </w:r>
      <w:r w:rsidRPr="00F7128E">
        <w:rPr>
          <w:rFonts w:ascii="Times New Roman" w:hAnsi="Times New Roman" w:cs="Times New Roman"/>
          <w:sz w:val="24"/>
        </w:rPr>
        <w:t>net voting shift in the 2016 US presidential election. PloS one, 12(10), e0185051.</w:t>
      </w:r>
    </w:p>
    <w:sectPr w:rsidR="00F7128E" w:rsidRPr="00073AA7" w:rsidSect="00F712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2A8" w:rsidRDefault="002262A8" w:rsidP="00F7128E">
      <w:pPr>
        <w:spacing w:after="0" w:line="240" w:lineRule="auto"/>
      </w:pPr>
      <w:r>
        <w:separator/>
      </w:r>
    </w:p>
  </w:endnote>
  <w:endnote w:type="continuationSeparator" w:id="0">
    <w:p w:rsidR="002262A8" w:rsidRDefault="002262A8" w:rsidP="00F71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2A8" w:rsidRDefault="002262A8" w:rsidP="00F7128E">
      <w:pPr>
        <w:spacing w:after="0" w:line="240" w:lineRule="auto"/>
      </w:pPr>
      <w:r>
        <w:separator/>
      </w:r>
    </w:p>
  </w:footnote>
  <w:footnote w:type="continuationSeparator" w:id="0">
    <w:p w:rsidR="002262A8" w:rsidRDefault="002262A8" w:rsidP="00F712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28E" w:rsidRPr="00F7128E" w:rsidRDefault="00F7128E" w:rsidP="00F7128E">
    <w:pPr>
      <w:pStyle w:val="Header"/>
      <w:jc w:val="right"/>
      <w:rPr>
        <w:rFonts w:ascii="Times New Roman" w:hAnsi="Times New Roman" w:cs="Times New Roman"/>
        <w:sz w:val="24"/>
      </w:rPr>
    </w:pPr>
    <w:r w:rsidRPr="00F7128E">
      <w:rPr>
        <w:rFonts w:ascii="Times New Roman" w:hAnsi="Times New Roman" w:cs="Times New Roman"/>
        <w:sz w:val="24"/>
      </w:rPr>
      <w:t>HEALTHCARE POLICY</w:t>
    </w:r>
    <w:r w:rsidRPr="00F7128E">
      <w:rPr>
        <w:rFonts w:ascii="Times New Roman" w:hAnsi="Times New Roman" w:cs="Times New Roman"/>
        <w:sz w:val="24"/>
      </w:rPr>
      <w:tab/>
    </w:r>
    <w:r w:rsidRPr="00F7128E">
      <w:rPr>
        <w:rFonts w:ascii="Times New Roman" w:hAnsi="Times New Roman" w:cs="Times New Roman"/>
        <w:sz w:val="24"/>
      </w:rPr>
      <w:tab/>
    </w:r>
    <w:sdt>
      <w:sdtPr>
        <w:rPr>
          <w:rFonts w:ascii="Times New Roman" w:hAnsi="Times New Roman" w:cs="Times New Roman"/>
          <w:sz w:val="24"/>
        </w:rPr>
        <w:id w:val="-1855800716"/>
        <w:docPartObj>
          <w:docPartGallery w:val="Page Numbers (Top of Page)"/>
          <w:docPartUnique/>
        </w:docPartObj>
      </w:sdtPr>
      <w:sdtEndPr>
        <w:rPr>
          <w:noProof/>
        </w:rPr>
      </w:sdtEndPr>
      <w:sdtContent>
        <w:r w:rsidRPr="00F7128E">
          <w:rPr>
            <w:rFonts w:ascii="Times New Roman" w:hAnsi="Times New Roman" w:cs="Times New Roman"/>
            <w:sz w:val="24"/>
          </w:rPr>
          <w:fldChar w:fldCharType="begin"/>
        </w:r>
        <w:r w:rsidRPr="00F7128E">
          <w:rPr>
            <w:rFonts w:ascii="Times New Roman" w:hAnsi="Times New Roman" w:cs="Times New Roman"/>
            <w:sz w:val="24"/>
          </w:rPr>
          <w:instrText xml:space="preserve"> PAGE   \* MERGEFORMAT </w:instrText>
        </w:r>
        <w:r w:rsidRPr="00F7128E">
          <w:rPr>
            <w:rFonts w:ascii="Times New Roman" w:hAnsi="Times New Roman" w:cs="Times New Roman"/>
            <w:sz w:val="24"/>
          </w:rPr>
          <w:fldChar w:fldCharType="separate"/>
        </w:r>
        <w:r w:rsidR="001669B3">
          <w:rPr>
            <w:rFonts w:ascii="Times New Roman" w:hAnsi="Times New Roman" w:cs="Times New Roman"/>
            <w:noProof/>
            <w:sz w:val="24"/>
          </w:rPr>
          <w:t>4</w:t>
        </w:r>
        <w:r w:rsidRPr="00F7128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28E" w:rsidRPr="00F7128E" w:rsidRDefault="00F7128E" w:rsidP="00F7128E">
    <w:pPr>
      <w:pStyle w:val="Header"/>
      <w:jc w:val="right"/>
      <w:rPr>
        <w:rFonts w:ascii="Times New Roman" w:hAnsi="Times New Roman" w:cs="Times New Roman"/>
        <w:sz w:val="24"/>
      </w:rPr>
    </w:pPr>
    <w:r w:rsidRPr="00F7128E">
      <w:rPr>
        <w:rFonts w:ascii="Times New Roman" w:hAnsi="Times New Roman" w:cs="Times New Roman"/>
        <w:sz w:val="24"/>
      </w:rPr>
      <w:t>Running head: HEALTHCARE POLICY</w:t>
    </w:r>
    <w:r w:rsidRPr="00F7128E">
      <w:rPr>
        <w:rFonts w:ascii="Times New Roman" w:hAnsi="Times New Roman" w:cs="Times New Roman"/>
        <w:sz w:val="24"/>
      </w:rPr>
      <w:tab/>
    </w:r>
    <w:r w:rsidRPr="00F7128E">
      <w:rPr>
        <w:rFonts w:ascii="Times New Roman" w:hAnsi="Times New Roman" w:cs="Times New Roman"/>
        <w:sz w:val="24"/>
      </w:rPr>
      <w:tab/>
    </w:r>
    <w:sdt>
      <w:sdtPr>
        <w:rPr>
          <w:rFonts w:ascii="Times New Roman" w:hAnsi="Times New Roman" w:cs="Times New Roman"/>
          <w:sz w:val="24"/>
        </w:rPr>
        <w:id w:val="-2071720659"/>
        <w:docPartObj>
          <w:docPartGallery w:val="Page Numbers (Top of Page)"/>
          <w:docPartUnique/>
        </w:docPartObj>
      </w:sdtPr>
      <w:sdtEndPr>
        <w:rPr>
          <w:noProof/>
        </w:rPr>
      </w:sdtEndPr>
      <w:sdtContent>
        <w:r w:rsidRPr="00F7128E">
          <w:rPr>
            <w:rFonts w:ascii="Times New Roman" w:hAnsi="Times New Roman" w:cs="Times New Roman"/>
            <w:sz w:val="24"/>
          </w:rPr>
          <w:fldChar w:fldCharType="begin"/>
        </w:r>
        <w:r w:rsidRPr="00F7128E">
          <w:rPr>
            <w:rFonts w:ascii="Times New Roman" w:hAnsi="Times New Roman" w:cs="Times New Roman"/>
            <w:sz w:val="24"/>
          </w:rPr>
          <w:instrText xml:space="preserve"> PAGE   \* MERGEFORMAT </w:instrText>
        </w:r>
        <w:r w:rsidRPr="00F7128E">
          <w:rPr>
            <w:rFonts w:ascii="Times New Roman" w:hAnsi="Times New Roman" w:cs="Times New Roman"/>
            <w:sz w:val="24"/>
          </w:rPr>
          <w:fldChar w:fldCharType="separate"/>
        </w:r>
        <w:r w:rsidR="001669B3">
          <w:rPr>
            <w:rFonts w:ascii="Times New Roman" w:hAnsi="Times New Roman" w:cs="Times New Roman"/>
            <w:noProof/>
            <w:sz w:val="24"/>
          </w:rPr>
          <w:t>1</w:t>
        </w:r>
        <w:r w:rsidRPr="00F7128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4C5"/>
    <w:rsid w:val="0001533A"/>
    <w:rsid w:val="00073AA7"/>
    <w:rsid w:val="001669B3"/>
    <w:rsid w:val="001E7783"/>
    <w:rsid w:val="002262A8"/>
    <w:rsid w:val="00356FD8"/>
    <w:rsid w:val="00475382"/>
    <w:rsid w:val="004824EA"/>
    <w:rsid w:val="006A54C5"/>
    <w:rsid w:val="00B442E0"/>
    <w:rsid w:val="00B8291C"/>
    <w:rsid w:val="00BE362C"/>
    <w:rsid w:val="00C829CF"/>
    <w:rsid w:val="00E77E65"/>
    <w:rsid w:val="00F71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28E"/>
  </w:style>
  <w:style w:type="paragraph" w:styleId="Footer">
    <w:name w:val="footer"/>
    <w:basedOn w:val="Normal"/>
    <w:link w:val="FooterChar"/>
    <w:uiPriority w:val="99"/>
    <w:unhideWhenUsed/>
    <w:rsid w:val="00F71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2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28E"/>
  </w:style>
  <w:style w:type="paragraph" w:styleId="Footer">
    <w:name w:val="footer"/>
    <w:basedOn w:val="Normal"/>
    <w:link w:val="FooterChar"/>
    <w:uiPriority w:val="99"/>
    <w:unhideWhenUsed/>
    <w:rsid w:val="00F71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2019-12-18T21:59:00Z</dcterms:created>
  <dcterms:modified xsi:type="dcterms:W3CDTF">2019-12-18T21:59:00Z</dcterms:modified>
</cp:coreProperties>
</file>